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Pr="00FB3B80" w:rsidRDefault="003B46AA" w:rsidP="000647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1.Предмет закупівлі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ДК 021:2015 «Єдиний закупівельний словник»- </w:t>
      </w:r>
      <w:r w:rsidR="00FB3B80" w:rsidRPr="00FB3B80">
        <w:rPr>
          <w:lang w:val="uk-UA"/>
        </w:rPr>
        <w:t>:</w:t>
      </w:r>
      <w:r w:rsidR="009E1128" w:rsidRPr="009E1128">
        <w:rPr>
          <w:rFonts w:ascii="Times New Roman" w:hAnsi="Times New Roman" w:cs="Times New Roman"/>
          <w:sz w:val="28"/>
          <w:szCs w:val="28"/>
          <w:lang w:val="uk-UA"/>
        </w:rPr>
        <w:t>7241000</w:t>
      </w:r>
      <w:r w:rsidR="00FB3B80" w:rsidRPr="00FB3B80">
        <w:rPr>
          <w:rFonts w:ascii="Times New Roman" w:hAnsi="Times New Roman" w:cs="Times New Roman"/>
          <w:sz w:val="28"/>
          <w:szCs w:val="28"/>
          <w:lang w:val="uk-UA"/>
        </w:rPr>
        <w:t>0-</w:t>
      </w:r>
      <w:r w:rsidR="009E112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3B80" w:rsidRPr="00FB3B8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E1128" w:rsidRPr="009E1128">
        <w:rPr>
          <w:rFonts w:ascii="Times New Roman" w:hAnsi="Times New Roman" w:cs="Times New Roman"/>
          <w:sz w:val="28"/>
          <w:szCs w:val="28"/>
          <w:lang w:val="uk-UA"/>
        </w:rPr>
        <w:t>Послуги провайдерів (Послуги доступу до мережі Інтернет через канал безпосереднього зв’язку)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 w:rsidR="00176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відкриті торги </w:t>
      </w:r>
      <w:r w:rsidR="006B4896">
        <w:rPr>
          <w:rFonts w:ascii="Times New Roman" w:hAnsi="Times New Roman" w:cs="Times New Roman"/>
          <w:b/>
          <w:sz w:val="28"/>
          <w:szCs w:val="28"/>
          <w:lang w:val="uk-UA"/>
        </w:rPr>
        <w:t>з особливостями</w:t>
      </w:r>
    </w:p>
    <w:p w:rsidR="006B4896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Номер оголошення закупівлі :</w:t>
      </w:r>
      <w:r w:rsidR="00744700" w:rsidRPr="00744700">
        <w:t xml:space="preserve"> </w:t>
      </w:r>
      <w:r w:rsidR="006B4896" w:rsidRPr="006B4896">
        <w:rPr>
          <w:rFonts w:ascii="Times New Roman" w:hAnsi="Times New Roman" w:cs="Times New Roman"/>
          <w:sz w:val="28"/>
          <w:szCs w:val="28"/>
          <w:lang w:val="uk-UA"/>
        </w:rPr>
        <w:t>UA-2023-01-23-011115-a</w:t>
      </w:r>
      <w:r w:rsidR="006B4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5D95" w:rsidRDefault="005F0BF1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195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:   </w:t>
      </w:r>
    </w:p>
    <w:p w:rsidR="00BE41B7" w:rsidRDefault="00195D95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95D95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предмету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закупівлі: Визначено відповідно до технічної специфікації до предмета закупівлі (Додаток 1)</w:t>
      </w:r>
    </w:p>
    <w:p w:rsidR="00195D95" w:rsidRDefault="00BE41B7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Обґрунтування розміру бюджетного призначення:</w:t>
      </w:r>
      <w:r w:rsidR="00195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1B7" w:rsidRDefault="00EC213F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сформований з урахуванням потреби в закупівлі електричної енергії та бюджетних призначень на 2022 рік, та </w:t>
      </w:r>
      <w:r w:rsidRPr="00BA4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складає </w:t>
      </w:r>
      <w:r w:rsidR="00257614">
        <w:rPr>
          <w:rFonts w:ascii="Times New Roman" w:hAnsi="Times New Roman" w:cs="Times New Roman"/>
          <w:b/>
          <w:sz w:val="28"/>
          <w:szCs w:val="28"/>
          <w:lang w:val="uk-UA"/>
        </w:rPr>
        <w:t>21000</w:t>
      </w:r>
      <w:r w:rsidR="00D71690" w:rsidRPr="00BA4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,00 грн. ( </w:t>
      </w:r>
      <w:r w:rsidR="00257614">
        <w:rPr>
          <w:rFonts w:ascii="Times New Roman" w:hAnsi="Times New Roman" w:cs="Times New Roman"/>
          <w:b/>
          <w:sz w:val="28"/>
          <w:szCs w:val="28"/>
          <w:lang w:val="uk-UA"/>
        </w:rPr>
        <w:t>Двадцять</w:t>
      </w:r>
      <w:r w:rsidR="005358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одна тисяча </w:t>
      </w:r>
      <w:r w:rsidR="00D71690" w:rsidRPr="00BA4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 00 копійок) з ПДВ.</w:t>
      </w:r>
    </w:p>
    <w:p w:rsidR="00967045" w:rsidRDefault="00967045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Обґрунтування очікуваної вартості предмету закупівлі:</w:t>
      </w:r>
    </w:p>
    <w:p w:rsidR="00974FCC" w:rsidRDefault="007102F6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Розрахунок визначення очікуваної вартості (</w:t>
      </w:r>
      <w:r w:rsidR="00106F05">
        <w:rPr>
          <w:rFonts w:ascii="Times New Roman" w:hAnsi="Times New Roman" w:cs="Times New Roman"/>
          <w:sz w:val="28"/>
          <w:szCs w:val="28"/>
          <w:lang w:val="uk-UA"/>
        </w:rPr>
        <w:t>21000</w:t>
      </w:r>
      <w:bookmarkStart w:id="0" w:name="_GoBack"/>
      <w:bookmarkEnd w:id="0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,00 грн.) здійснено відповідно до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Примірної методики визначення очікуваної вартості предмета закупівлі, затвердженою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Мінекономіки від 18.02.2020 </w:t>
      </w:r>
      <w:proofErr w:type="spellStart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 275, шляхом моніторингу сайту </w:t>
      </w:r>
      <w:proofErr w:type="spellStart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34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підставі цінових пропозицій учасників процедур відповідного предмету закупівлі та аналізу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br/>
        <w:t>фактичного використання цих послуг для забезпечення діяльності замовника у минулих</w:t>
      </w:r>
      <w:r w:rsidR="00671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42B" w:rsidRPr="00B8542B">
        <w:rPr>
          <w:rFonts w:ascii="Times New Roman" w:hAnsi="Times New Roman" w:cs="Times New Roman"/>
          <w:sz w:val="28"/>
          <w:szCs w:val="28"/>
          <w:lang w:val="uk-UA"/>
        </w:rPr>
        <w:t>періодах та з урахуванням запланованих поточних завдань замовника</w:t>
      </w:r>
      <w:r w:rsidR="00201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8C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визначення очікуваної вартості предмета закупівлі, затвердженого наказом Мінекономіки від 18.02.2020 № 275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моніторингу сайту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Прозорро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цінових пропозицій учасників процедур відповідного предмету закупівлі </w:t>
      </w: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7614" w:rsidRDefault="00257614" w:rsidP="00CC32E0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7614" w:rsidRDefault="00FF73F4" w:rsidP="00FF73F4">
      <w:pPr>
        <w:ind w:firstLine="426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1</w:t>
      </w:r>
    </w:p>
    <w:p w:rsidR="00257614" w:rsidRPr="0002453F" w:rsidRDefault="00257614" w:rsidP="00257614">
      <w:pPr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2453F">
        <w:rPr>
          <w:rFonts w:ascii="Times New Roman" w:hAnsi="Times New Roman"/>
          <w:b/>
          <w:sz w:val="24"/>
          <w:szCs w:val="24"/>
          <w:lang w:val="uk-UA"/>
        </w:rPr>
        <w:t>ТЕХНІЧНЕ ЗАВДАННЯ :</w:t>
      </w:r>
    </w:p>
    <w:p w:rsidR="00257614" w:rsidRPr="0002453F" w:rsidRDefault="00257614" w:rsidP="00257614">
      <w:pPr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2453F">
        <w:rPr>
          <w:rFonts w:ascii="Times New Roman" w:hAnsi="Times New Roman"/>
          <w:b/>
          <w:sz w:val="24"/>
          <w:szCs w:val="24"/>
          <w:lang w:val="uk-UA"/>
        </w:rPr>
        <w:t>Найменування предмета закупівлі:</w:t>
      </w:r>
    </w:p>
    <w:p w:rsidR="00257614" w:rsidRPr="0002453F" w:rsidRDefault="00257614" w:rsidP="00257614">
      <w:pPr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2453F">
        <w:rPr>
          <w:rFonts w:ascii="Times New Roman" w:hAnsi="Times New Roman"/>
          <w:b/>
          <w:i/>
          <w:lang w:val="uk-UA"/>
        </w:rPr>
        <w:t xml:space="preserve">ДК 021:2015 </w:t>
      </w:r>
      <w:r w:rsidRPr="0002453F">
        <w:rPr>
          <w:rFonts w:ascii="Times New Roman" w:hAnsi="Times New Roman"/>
          <w:b/>
          <w:i/>
        </w:rPr>
        <w:t xml:space="preserve">72410000-7 </w:t>
      </w:r>
      <w:proofErr w:type="spellStart"/>
      <w:r w:rsidRPr="0002453F">
        <w:rPr>
          <w:rFonts w:ascii="Times New Roman" w:hAnsi="Times New Roman"/>
          <w:b/>
          <w:i/>
        </w:rPr>
        <w:t>Послуги</w:t>
      </w:r>
      <w:proofErr w:type="spellEnd"/>
      <w:r w:rsidRPr="0002453F">
        <w:rPr>
          <w:rFonts w:ascii="Times New Roman" w:hAnsi="Times New Roman"/>
          <w:b/>
          <w:i/>
        </w:rPr>
        <w:t xml:space="preserve"> </w:t>
      </w:r>
      <w:proofErr w:type="spellStart"/>
      <w:r w:rsidRPr="0002453F">
        <w:rPr>
          <w:rFonts w:ascii="Times New Roman" w:hAnsi="Times New Roman"/>
          <w:b/>
          <w:i/>
        </w:rPr>
        <w:t>провайдерів</w:t>
      </w:r>
      <w:proofErr w:type="spellEnd"/>
      <w:r w:rsidRPr="0002453F">
        <w:rPr>
          <w:rFonts w:ascii="Times New Roman" w:hAnsi="Times New Roman"/>
          <w:b/>
          <w:i/>
          <w:lang w:val="uk-UA"/>
        </w:rPr>
        <w:t xml:space="preserve"> (Послуги доступу до мережі Інтернет через канал безпосереднього зв</w:t>
      </w:r>
      <w:r w:rsidRPr="0002453F">
        <w:rPr>
          <w:rFonts w:ascii="Times New Roman" w:hAnsi="Times New Roman"/>
          <w:b/>
          <w:i/>
        </w:rPr>
        <w:t>’</w:t>
      </w:r>
      <w:proofErr w:type="spellStart"/>
      <w:r w:rsidRPr="0002453F">
        <w:rPr>
          <w:rFonts w:ascii="Times New Roman" w:hAnsi="Times New Roman"/>
          <w:b/>
          <w:i/>
          <w:lang w:val="uk-UA"/>
        </w:rPr>
        <w:t>язку</w:t>
      </w:r>
      <w:proofErr w:type="spellEnd"/>
      <w:r w:rsidRPr="0002453F">
        <w:rPr>
          <w:rFonts w:ascii="Times New Roman" w:hAnsi="Times New Roman"/>
          <w:b/>
          <w:i/>
          <w:lang w:val="uk-UA"/>
        </w:rPr>
        <w:t>)</w:t>
      </w:r>
    </w:p>
    <w:tbl>
      <w:tblPr>
        <w:tblOverlap w:val="never"/>
        <w:tblW w:w="545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2649"/>
        <w:gridCol w:w="5544"/>
        <w:gridCol w:w="1434"/>
      </w:tblGrid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розділу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Загальні відомості</w:t>
            </w:r>
          </w:p>
        </w:tc>
      </w:tr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Предмет закупівлі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«ДК 021:2015» 72410000-7 Послуги провайдерів (Послуги доступу до мережі Інтернет через канал безпосереднього зв</w:t>
            </w:r>
            <w:r w:rsidRPr="0002453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’</w:t>
            </w:r>
            <w:proofErr w:type="spellStart"/>
            <w:r w:rsidRPr="0002453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язку</w:t>
            </w:r>
            <w:proofErr w:type="spellEnd"/>
            <w:r w:rsidRPr="0002453F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257614" w:rsidRPr="00106F05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Призначення і мета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послуг доступу в мережу інтернет для підрозділів і користувачів Відокремлений структурний підрозділ «Уманський фаховий коледж технологій та бізнесу Уманського національного університету садівництва»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Вимоги до закуповуваних послуг</w:t>
            </w:r>
          </w:p>
        </w:tc>
      </w:tr>
      <w:tr w:rsidR="00257614" w:rsidRPr="00106F05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Вимоги до послуг, що купуються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цілодобового доступу в мережу Інтернет із заявленою швидкістю без обмеження обсягу трафіку;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цілодобова служба підтримки, наявність </w:t>
            </w:r>
            <w:proofErr w:type="spellStart"/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колцентру</w:t>
            </w:r>
            <w:proofErr w:type="spellEnd"/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передачі трафіку інтерактивного голосового і відео обміну, а також інших додатків реального часу, критичного до затримок їх коливань і втрати пакетів, різноманітних сервісів замовника;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гарантоване забезпечення можливості використання на каналі передачі даних замовника </w:t>
            </w:r>
            <w:proofErr w:type="spellStart"/>
            <w:r w:rsidRPr="0002453F">
              <w:rPr>
                <w:rFonts w:ascii="Times New Roman" w:hAnsi="Times New Roman"/>
                <w:sz w:val="24"/>
                <w:szCs w:val="24"/>
                <w:lang w:val="en-US" w:bidi="en-US"/>
              </w:rPr>
              <w:t>vpn</w:t>
            </w:r>
            <w:proofErr w:type="spellEnd"/>
            <w:r w:rsidRPr="0002453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для ресурсів мережі коледжу;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ліцензії на вид діяльності, наявність необхідної дозвільної документації.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Об'єкти на яких мають надаватися послуги з доступу в Інтернет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ind w:firstLine="44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наведені у додатку №1 до «Технічного завдання»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257614" w:rsidRPr="0002453F" w:rsidTr="00FC39FF">
        <w:trPr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Умови надання послуг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вартість послуги доступу в інтернет по кожному об’єкту в місяць (додаток№1 д «Технічного завдання»)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вартість послу з підключення, або інших додаткових витрат ( у разі наявності)</w:t>
            </w:r>
          </w:p>
          <w:p w:rsidR="00257614" w:rsidRPr="0002453F" w:rsidRDefault="00257614" w:rsidP="00257614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44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загальну вартість пропозиції - підтвердження виконання вимог п.2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257614" w:rsidRPr="0002453F" w:rsidTr="00FC39FF">
        <w:trPr>
          <w:trHeight w:val="578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надання послуг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257614" w:rsidRPr="0002453F" w:rsidRDefault="00257614" w:rsidP="00FC39FF">
            <w:pPr>
              <w:widowControl w:val="0"/>
              <w:spacing w:line="240" w:lineRule="exact"/>
              <w:ind w:firstLine="30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245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 31.12.2023 року включно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7614" w:rsidRPr="0002453F" w:rsidRDefault="00257614" w:rsidP="00FC39FF">
            <w:pPr>
              <w:widowControl w:val="0"/>
              <w:spacing w:line="24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:rsidR="00974FCC" w:rsidRDefault="004210A5" w:rsidP="0085094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735D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4FCC" w:rsidRPr="007102F6" w:rsidRDefault="00974FCC" w:rsidP="003B46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0D0E" w:rsidRPr="008D0D0E" w:rsidRDefault="008D0D0E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D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8D0D0E" w:rsidRPr="008D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4572D"/>
    <w:multiLevelType w:val="hybridMultilevel"/>
    <w:tmpl w:val="658AD8A4"/>
    <w:lvl w:ilvl="0" w:tplc="C0D4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647B4"/>
    <w:rsid w:val="000B729C"/>
    <w:rsid w:val="00106F05"/>
    <w:rsid w:val="00176899"/>
    <w:rsid w:val="00181DBC"/>
    <w:rsid w:val="001830A4"/>
    <w:rsid w:val="00195D95"/>
    <w:rsid w:val="001E12B4"/>
    <w:rsid w:val="001E7E3C"/>
    <w:rsid w:val="00201E71"/>
    <w:rsid w:val="00213852"/>
    <w:rsid w:val="00257614"/>
    <w:rsid w:val="00285AA2"/>
    <w:rsid w:val="002B5800"/>
    <w:rsid w:val="002C566D"/>
    <w:rsid w:val="002E593D"/>
    <w:rsid w:val="002F4BD3"/>
    <w:rsid w:val="00340BCD"/>
    <w:rsid w:val="003B46AA"/>
    <w:rsid w:val="003F1A46"/>
    <w:rsid w:val="004210A5"/>
    <w:rsid w:val="0046641A"/>
    <w:rsid w:val="00480F42"/>
    <w:rsid w:val="005358C0"/>
    <w:rsid w:val="005363EB"/>
    <w:rsid w:val="005F0BF1"/>
    <w:rsid w:val="0067190E"/>
    <w:rsid w:val="006B4896"/>
    <w:rsid w:val="007102F6"/>
    <w:rsid w:val="0071066C"/>
    <w:rsid w:val="00740A71"/>
    <w:rsid w:val="00744700"/>
    <w:rsid w:val="007B7200"/>
    <w:rsid w:val="0082576D"/>
    <w:rsid w:val="008358FA"/>
    <w:rsid w:val="00837426"/>
    <w:rsid w:val="0085094D"/>
    <w:rsid w:val="0085252A"/>
    <w:rsid w:val="008D0D0E"/>
    <w:rsid w:val="00967045"/>
    <w:rsid w:val="00974FCC"/>
    <w:rsid w:val="009B153E"/>
    <w:rsid w:val="009E1128"/>
    <w:rsid w:val="00AA4BB0"/>
    <w:rsid w:val="00AE324E"/>
    <w:rsid w:val="00AF0F16"/>
    <w:rsid w:val="00B153BA"/>
    <w:rsid w:val="00B61179"/>
    <w:rsid w:val="00B8542B"/>
    <w:rsid w:val="00BA0309"/>
    <w:rsid w:val="00BA4E57"/>
    <w:rsid w:val="00BE41B7"/>
    <w:rsid w:val="00C30CA4"/>
    <w:rsid w:val="00C6103F"/>
    <w:rsid w:val="00CC32E0"/>
    <w:rsid w:val="00D03002"/>
    <w:rsid w:val="00D351D2"/>
    <w:rsid w:val="00D71690"/>
    <w:rsid w:val="00DB2CBA"/>
    <w:rsid w:val="00DB4B54"/>
    <w:rsid w:val="00E07939"/>
    <w:rsid w:val="00E22B32"/>
    <w:rsid w:val="00EC213F"/>
    <w:rsid w:val="00F34C04"/>
    <w:rsid w:val="00F9084B"/>
    <w:rsid w:val="00FB3B80"/>
    <w:rsid w:val="00FB544F"/>
    <w:rsid w:val="00FF360A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8542B"/>
  </w:style>
  <w:style w:type="paragraph" w:customStyle="1" w:styleId="1">
    <w:name w:val="Обычный1"/>
    <w:qFormat/>
    <w:rsid w:val="00CC32E0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23</cp:revision>
  <dcterms:created xsi:type="dcterms:W3CDTF">2022-01-29T13:25:00Z</dcterms:created>
  <dcterms:modified xsi:type="dcterms:W3CDTF">2023-03-16T11:58:00Z</dcterms:modified>
</cp:coreProperties>
</file>