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Pr="00FB3B80" w:rsidRDefault="003B46AA" w:rsidP="000647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1.Предмет закупівлі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ДК 021:2015 «Єдиний закупівельний словник»- </w:t>
      </w:r>
      <w:r w:rsidR="00FB3B80" w:rsidRPr="00FB3B80">
        <w:rPr>
          <w:lang w:val="uk-UA"/>
        </w:rPr>
        <w:t>:</w:t>
      </w:r>
      <w:r w:rsidR="00C702E9" w:rsidRPr="00C702E9">
        <w:t xml:space="preserve"> </w:t>
      </w:r>
      <w:r w:rsidR="003F340F">
        <w:rPr>
          <w:rFonts w:ascii="Times New Roman" w:hAnsi="Times New Roman" w:cs="Times New Roman"/>
          <w:sz w:val="28"/>
          <w:szCs w:val="28"/>
          <w:lang w:val="uk-UA"/>
        </w:rPr>
        <w:t>09130000-9 Нафта та дистиляти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 w:rsidR="00176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відкриті торги </w:t>
      </w:r>
      <w:r w:rsidR="006B4896">
        <w:rPr>
          <w:rFonts w:ascii="Times New Roman" w:hAnsi="Times New Roman" w:cs="Times New Roman"/>
          <w:b/>
          <w:sz w:val="28"/>
          <w:szCs w:val="28"/>
          <w:lang w:val="uk-UA"/>
        </w:rPr>
        <w:t>з особливостями</w:t>
      </w:r>
    </w:p>
    <w:p w:rsidR="006B4896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Номер оголошення закупівлі :</w:t>
      </w:r>
      <w:r w:rsidR="00744700" w:rsidRPr="00744700">
        <w:t xml:space="preserve"> </w:t>
      </w:r>
      <w:r w:rsidR="003F340F">
        <w:t>UA-2023-05-09-012863-a</w:t>
      </w:r>
    </w:p>
    <w:p w:rsidR="00195D95" w:rsidRDefault="005F0BF1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195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:   </w:t>
      </w:r>
    </w:p>
    <w:p w:rsidR="00BE41B7" w:rsidRDefault="00195D95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95D95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предмету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закупівлі: Визначено відповідно до технічної специфікації до предмета закупівлі (Додаток 1)</w:t>
      </w:r>
    </w:p>
    <w:p w:rsidR="00195D95" w:rsidRDefault="00BE41B7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Обґрунтування розміру бюджетного призначення:</w:t>
      </w:r>
      <w:r w:rsidR="00195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1B7" w:rsidRDefault="00EC213F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 бюджетного призначення сформований з урахуванням потреби</w:t>
      </w:r>
      <w:r w:rsidR="00C47824">
        <w:rPr>
          <w:rFonts w:ascii="Times New Roman" w:hAnsi="Times New Roman" w:cs="Times New Roman"/>
          <w:sz w:val="28"/>
          <w:szCs w:val="28"/>
          <w:lang w:val="uk-UA"/>
        </w:rPr>
        <w:t xml:space="preserve"> в закупівлі з предметом нафта та дистиляти (Бензин А-95 ( талони))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бюджетних призначень на 202</w:t>
      </w:r>
      <w:r w:rsidR="0024241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та </w:t>
      </w:r>
      <w:r w:rsidRPr="00BA4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складає </w:t>
      </w:r>
      <w:r w:rsidR="00C47824">
        <w:rPr>
          <w:rFonts w:ascii="Times New Roman" w:hAnsi="Times New Roman" w:cs="Times New Roman"/>
          <w:b/>
          <w:sz w:val="28"/>
          <w:szCs w:val="28"/>
          <w:lang w:val="uk-UA"/>
        </w:rPr>
        <w:t>5000 грн. (П’ять</w:t>
      </w:r>
      <w:r w:rsidR="005358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тисяч </w:t>
      </w:r>
      <w:r w:rsidR="00D71690" w:rsidRPr="00BA4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 00 копійок) з ПДВ.</w:t>
      </w:r>
    </w:p>
    <w:p w:rsidR="00967045" w:rsidRDefault="00967045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Обґрунтування очікуваної вартості предмету закупівлі:</w:t>
      </w:r>
    </w:p>
    <w:p w:rsidR="00974FCC" w:rsidRDefault="007102F6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Розрахунок визначення очікуваної вартості (</w:t>
      </w:r>
      <w:r w:rsidR="008E5A9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F05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,00 грн.) здійснено відповідно до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Примірної методики визначення очікуваної вартості предмета закупівлі, затвердженою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Мінекономіки від 18.02.2020 </w:t>
      </w:r>
      <w:proofErr w:type="spellStart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 275, шляхом моніторингу сайту </w:t>
      </w:r>
      <w:proofErr w:type="spellStart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підставі цінових пропозицій учасників процедур відповідного предмету закупівлі та аналізу</w:t>
      </w:r>
      <w:r w:rsidR="008E5A9C">
        <w:rPr>
          <w:rFonts w:ascii="Times New Roman" w:hAnsi="Times New Roman" w:cs="Times New Roman"/>
          <w:sz w:val="28"/>
          <w:szCs w:val="28"/>
          <w:lang w:val="uk-UA"/>
        </w:rPr>
        <w:br/>
        <w:t>фактичного використання цього товару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діяльності замовника у минулих</w:t>
      </w:r>
      <w:r w:rsidR="00671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періодах та з урахуванням запланованих поточних завдань замовника</w:t>
      </w:r>
      <w:r w:rsidR="00201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8C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визначення очікуваної вартості предмета закупівлі, затвердженого наказом Мінекономіки від 18.02.2020 № 275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моніторингу сайту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цінових пропозицій учасників процедур відповідного предмету закупівлі </w:t>
      </w: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7614" w:rsidRDefault="00257614" w:rsidP="00CC32E0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48C0" w:rsidRDefault="00DA48C0" w:rsidP="00DE3697">
      <w:pPr>
        <w:tabs>
          <w:tab w:val="left" w:pos="993"/>
        </w:tabs>
        <w:jc w:val="center"/>
        <w:rPr>
          <w:b/>
          <w:lang w:val="uk-UA"/>
        </w:rPr>
      </w:pPr>
    </w:p>
    <w:p w:rsidR="00DE3697" w:rsidRPr="00DA48C0" w:rsidRDefault="00DA48C0" w:rsidP="00DA48C0">
      <w:pPr>
        <w:tabs>
          <w:tab w:val="left" w:pos="993"/>
        </w:tabs>
        <w:jc w:val="right"/>
        <w:rPr>
          <w:b/>
          <w:lang w:val="uk-UA"/>
        </w:rPr>
      </w:pPr>
      <w:bookmarkStart w:id="0" w:name="_GoBack"/>
      <w:r>
        <w:rPr>
          <w:b/>
          <w:lang w:val="uk-UA"/>
        </w:rPr>
        <w:lastRenderedPageBreak/>
        <w:t>ДОДАТОК 1</w:t>
      </w:r>
    </w:p>
    <w:bookmarkEnd w:id="0"/>
    <w:p w:rsidR="00DE3697" w:rsidRPr="00DA4DAB" w:rsidRDefault="00DE3697" w:rsidP="00DE3697">
      <w:pPr>
        <w:tabs>
          <w:tab w:val="left" w:pos="993"/>
        </w:tabs>
        <w:jc w:val="center"/>
        <w:rPr>
          <w:b/>
        </w:rPr>
      </w:pPr>
      <w:r w:rsidRPr="00DA4DAB">
        <w:rPr>
          <w:b/>
        </w:rPr>
        <w:t>ТЕХНІЧНІ, ЯКІСНІ ТА КІЛЬКІСНІ ХАРАКТЕРИСТИКИ ПРЕДМЕТА ЗАКУПІВЛІ</w:t>
      </w:r>
    </w:p>
    <w:p w:rsidR="00DE3697" w:rsidRPr="00DA4DAB" w:rsidRDefault="00DE3697" w:rsidP="00DE3697">
      <w:pPr>
        <w:tabs>
          <w:tab w:val="left" w:pos="993"/>
        </w:tabs>
        <w:jc w:val="center"/>
        <w:rPr>
          <w:b/>
        </w:rPr>
      </w:pPr>
      <w:r w:rsidRPr="00DA4DAB">
        <w:rPr>
          <w:b/>
        </w:rPr>
        <w:t>(ТЕХНІЧНІ ВИМОГИ)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793"/>
        <w:gridCol w:w="5272"/>
      </w:tblGrid>
      <w:tr w:rsidR="00DE3697" w:rsidRPr="00DA4DAB" w:rsidTr="00220DED">
        <w:trPr>
          <w:trHeight w:hRule="exact" w:val="288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proofErr w:type="spellStart"/>
            <w:r w:rsidRPr="00DA4DAB">
              <w:rPr>
                <w:b/>
              </w:rPr>
              <w:t>Технічні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вимоги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Замовника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proofErr w:type="spellStart"/>
            <w:r w:rsidRPr="00DA4DAB">
              <w:rPr>
                <w:b/>
              </w:rPr>
              <w:t>Підтвердження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виконання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технічних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вимог</w:t>
            </w:r>
            <w:proofErr w:type="spellEnd"/>
          </w:p>
        </w:tc>
      </w:tr>
      <w:tr w:rsidR="00DE3697" w:rsidRPr="00DA4DAB" w:rsidTr="00220DED">
        <w:trPr>
          <w:trHeight w:hRule="exact" w:val="302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r w:rsidRPr="00DA4DAB">
              <w:rPr>
                <w:b/>
              </w:rPr>
              <w:t>1. Товар</w:t>
            </w:r>
          </w:p>
        </w:tc>
      </w:tr>
      <w:tr w:rsidR="00DE3697" w:rsidRPr="00DA4DAB" w:rsidTr="00220DED">
        <w:trPr>
          <w:trHeight w:hRule="exact" w:val="467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r w:rsidRPr="00DA4DAB">
              <w:rPr>
                <w:b/>
              </w:rPr>
              <w:t xml:space="preserve">Тип </w:t>
            </w:r>
            <w:proofErr w:type="spellStart"/>
            <w:r w:rsidRPr="00DA4DAB">
              <w:rPr>
                <w:b/>
              </w:rPr>
              <w:t>пального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proofErr w:type="spellStart"/>
            <w:r w:rsidRPr="00DA4DAB">
              <w:rPr>
                <w:b/>
              </w:rPr>
              <w:t>Кількість</w:t>
            </w:r>
            <w:proofErr w:type="spellEnd"/>
            <w:r w:rsidRPr="00DA4DAB">
              <w:rPr>
                <w:b/>
              </w:rPr>
              <w:t xml:space="preserve"> поставки</w:t>
            </w:r>
          </w:p>
        </w:tc>
      </w:tr>
      <w:tr w:rsidR="00DE3697" w:rsidRPr="00DA4DAB" w:rsidTr="00220DED">
        <w:trPr>
          <w:trHeight w:hRule="exact" w:val="99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rPr>
                <w:b/>
                <w:lang w:val="uk-UA"/>
              </w:rPr>
            </w:pPr>
            <w:r w:rsidRPr="00DA4DAB">
              <w:rPr>
                <w:b/>
                <w:lang w:val="uk-UA"/>
              </w:rPr>
              <w:t>Автомобільний бензин</w:t>
            </w:r>
            <w:r w:rsidRPr="00DA4DAB">
              <w:rPr>
                <w:b/>
              </w:rPr>
              <w:t xml:space="preserve"> А-95</w:t>
            </w:r>
            <w:r w:rsidRPr="00DA4DAB">
              <w:rPr>
                <w:b/>
                <w:lang w:val="uk-UA"/>
              </w:rPr>
              <w:t xml:space="preserve"> ( по талонах)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ind w:left="144" w:right="105"/>
              <w:jc w:val="both"/>
              <w:rPr>
                <w:lang w:val="uk-UA"/>
              </w:rPr>
            </w:pPr>
            <w:proofErr w:type="gramStart"/>
            <w:r w:rsidRPr="00DA4DAB">
              <w:t>бланки</w:t>
            </w:r>
            <w:proofErr w:type="gramEnd"/>
            <w:r w:rsidRPr="00DA4DAB">
              <w:t>-</w:t>
            </w:r>
            <w:proofErr w:type="spellStart"/>
            <w:r w:rsidRPr="00DA4DAB">
              <w:t>дозволи</w:t>
            </w:r>
            <w:proofErr w:type="spellEnd"/>
            <w:r w:rsidRPr="00DA4DAB">
              <w:t xml:space="preserve"> (по талонах</w:t>
            </w:r>
            <w:r w:rsidRPr="00DA4DAB">
              <w:rPr>
                <w:lang w:val="uk-UA"/>
              </w:rPr>
              <w:t>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r w:rsidRPr="00DA4DAB">
              <w:rPr>
                <w:b/>
                <w:lang w:val="uk-UA"/>
              </w:rPr>
              <w:t xml:space="preserve">100 </w:t>
            </w:r>
            <w:r w:rsidRPr="00DA4DAB">
              <w:rPr>
                <w:b/>
              </w:rPr>
              <w:t>л.</w:t>
            </w:r>
          </w:p>
        </w:tc>
      </w:tr>
      <w:tr w:rsidR="00DE3697" w:rsidRPr="00DA4DAB" w:rsidTr="00220DED">
        <w:trPr>
          <w:trHeight w:hRule="exact" w:val="276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ind w:left="142" w:right="132"/>
              <w:jc w:val="both"/>
            </w:pPr>
            <w:r w:rsidRPr="00DA4DAB">
              <w:t>*Бланк-</w:t>
            </w:r>
            <w:proofErr w:type="spellStart"/>
            <w:r w:rsidRPr="00DA4DAB">
              <w:t>дозвіл</w:t>
            </w:r>
            <w:proofErr w:type="spellEnd"/>
            <w:r w:rsidRPr="00DA4DAB">
              <w:t xml:space="preserve"> (талон) - </w:t>
            </w:r>
            <w:proofErr w:type="spellStart"/>
            <w:r w:rsidRPr="00DA4DAB">
              <w:t>спеціальний</w:t>
            </w:r>
            <w:proofErr w:type="spellEnd"/>
            <w:r w:rsidRPr="00DA4DAB">
              <w:t xml:space="preserve"> талон, </w:t>
            </w:r>
            <w:proofErr w:type="spellStart"/>
            <w:r w:rsidRPr="00DA4DAB">
              <w:t>придбаний</w:t>
            </w:r>
            <w:proofErr w:type="spellEnd"/>
            <w:r w:rsidRPr="00DA4DAB">
              <w:t xml:space="preserve"> за </w:t>
            </w:r>
            <w:proofErr w:type="spellStart"/>
            <w:r w:rsidRPr="00DA4DAB">
              <w:t>умовами</w:t>
            </w:r>
            <w:proofErr w:type="spellEnd"/>
            <w:r w:rsidRPr="00DA4DAB">
              <w:t xml:space="preserve"> та </w:t>
            </w:r>
            <w:proofErr w:type="spellStart"/>
            <w:r w:rsidRPr="00DA4DAB">
              <w:t>відпускною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ціною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обумовленого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номіналу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що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підтверджує</w:t>
            </w:r>
            <w:proofErr w:type="spellEnd"/>
            <w:r w:rsidRPr="00DA4DAB">
              <w:t xml:space="preserve"> право </w:t>
            </w:r>
            <w:proofErr w:type="spellStart"/>
            <w:r w:rsidRPr="00DA4DAB">
              <w:t>його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власника</w:t>
            </w:r>
            <w:proofErr w:type="spellEnd"/>
            <w:r w:rsidRPr="00DA4DAB">
              <w:t xml:space="preserve"> на </w:t>
            </w:r>
            <w:proofErr w:type="spellStart"/>
            <w:r w:rsidRPr="00DA4DAB">
              <w:t>отримання</w:t>
            </w:r>
            <w:proofErr w:type="spellEnd"/>
            <w:r w:rsidRPr="00DA4DAB">
              <w:t xml:space="preserve"> на АЗС </w:t>
            </w:r>
            <w:proofErr w:type="spellStart"/>
            <w:r w:rsidRPr="00DA4DAB">
              <w:t>фіксованої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кількості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нафтопродукту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певного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найменування</w:t>
            </w:r>
            <w:proofErr w:type="spellEnd"/>
            <w:r w:rsidRPr="00DA4DAB">
              <w:t xml:space="preserve"> і марки, </w:t>
            </w:r>
            <w:proofErr w:type="spellStart"/>
            <w:r w:rsidRPr="00DA4DAB">
              <w:t>які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позначені</w:t>
            </w:r>
            <w:proofErr w:type="spellEnd"/>
            <w:r w:rsidRPr="00DA4DAB">
              <w:t xml:space="preserve"> на </w:t>
            </w:r>
            <w:proofErr w:type="spellStart"/>
            <w:r w:rsidRPr="00DA4DAB">
              <w:t>ньому</w:t>
            </w:r>
            <w:proofErr w:type="spellEnd"/>
            <w:r w:rsidRPr="00DA4DAB">
              <w:t xml:space="preserve"> (п. 3 </w:t>
            </w:r>
            <w:proofErr w:type="spellStart"/>
            <w:r w:rsidRPr="00DA4DAB">
              <w:t>Інструкції</w:t>
            </w:r>
            <w:proofErr w:type="spellEnd"/>
            <w:r w:rsidRPr="00DA4DAB">
              <w:t xml:space="preserve"> про порядок </w:t>
            </w:r>
            <w:proofErr w:type="spellStart"/>
            <w:r w:rsidRPr="00DA4DAB">
              <w:t>приймання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транспортування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зберігання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відпуску</w:t>
            </w:r>
            <w:proofErr w:type="spellEnd"/>
            <w:r w:rsidRPr="00DA4DAB">
              <w:t xml:space="preserve"> та </w:t>
            </w:r>
            <w:proofErr w:type="spellStart"/>
            <w:r w:rsidRPr="00DA4DAB">
              <w:t>обліку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нафти</w:t>
            </w:r>
            <w:proofErr w:type="spellEnd"/>
            <w:r w:rsidRPr="00DA4DAB">
              <w:t xml:space="preserve"> і </w:t>
            </w:r>
            <w:proofErr w:type="spellStart"/>
            <w:r w:rsidRPr="00DA4DAB">
              <w:t>нафтопродуктів</w:t>
            </w:r>
            <w:proofErr w:type="spellEnd"/>
            <w:r w:rsidRPr="00DA4DAB">
              <w:t xml:space="preserve"> на </w:t>
            </w:r>
            <w:proofErr w:type="spellStart"/>
            <w:r w:rsidRPr="00DA4DAB">
              <w:t>підприємствах</w:t>
            </w:r>
            <w:proofErr w:type="spellEnd"/>
            <w:r w:rsidRPr="00DA4DAB">
              <w:t xml:space="preserve"> і </w:t>
            </w:r>
            <w:proofErr w:type="spellStart"/>
            <w:r w:rsidRPr="00DA4DAB">
              <w:t>організаціях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України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затвердженою</w:t>
            </w:r>
            <w:proofErr w:type="spellEnd"/>
            <w:r w:rsidRPr="00DA4DAB">
              <w:t xml:space="preserve"> наказом </w:t>
            </w:r>
            <w:proofErr w:type="spellStart"/>
            <w:r w:rsidRPr="00DA4DAB">
              <w:t>Мінпаливенерго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України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Мінекономіки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України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Мінтрансу</w:t>
            </w:r>
            <w:proofErr w:type="spellEnd"/>
            <w:r w:rsidRPr="00DA4DAB">
              <w:t xml:space="preserve"> та </w:t>
            </w:r>
            <w:proofErr w:type="spellStart"/>
            <w:r w:rsidRPr="00DA4DAB">
              <w:t>зв'язку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України</w:t>
            </w:r>
            <w:proofErr w:type="spellEnd"/>
            <w:r w:rsidRPr="00DA4DAB">
              <w:t xml:space="preserve">, Державного </w:t>
            </w:r>
            <w:proofErr w:type="spellStart"/>
            <w:r w:rsidRPr="00DA4DAB">
              <w:t>комітету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України</w:t>
            </w:r>
            <w:proofErr w:type="spellEnd"/>
            <w:r w:rsidRPr="00DA4DAB">
              <w:t xml:space="preserve"> з </w:t>
            </w:r>
            <w:proofErr w:type="spellStart"/>
            <w:r w:rsidRPr="00DA4DAB">
              <w:t>питань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технічного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регулювання</w:t>
            </w:r>
            <w:proofErr w:type="spellEnd"/>
            <w:r w:rsidRPr="00DA4DAB">
              <w:t xml:space="preserve"> та </w:t>
            </w:r>
            <w:proofErr w:type="spellStart"/>
            <w:r w:rsidRPr="00DA4DAB">
              <w:t>споживчої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політики</w:t>
            </w:r>
            <w:proofErr w:type="spellEnd"/>
            <w:r w:rsidRPr="00DA4DAB">
              <w:t xml:space="preserve"> №281/171/578/155 </w:t>
            </w:r>
            <w:proofErr w:type="spellStart"/>
            <w:r w:rsidRPr="00DA4DAB">
              <w:t>від</w:t>
            </w:r>
            <w:proofErr w:type="spellEnd"/>
            <w:r w:rsidRPr="00DA4DAB">
              <w:t xml:space="preserve"> 20 </w:t>
            </w:r>
            <w:proofErr w:type="spellStart"/>
            <w:r w:rsidRPr="00DA4DAB">
              <w:t>травня</w:t>
            </w:r>
            <w:proofErr w:type="spellEnd"/>
            <w:r w:rsidRPr="00DA4DAB">
              <w:t xml:space="preserve"> 2008 року).</w:t>
            </w:r>
          </w:p>
          <w:p w:rsidR="00DE3697" w:rsidRPr="00DA4DAB" w:rsidRDefault="00DE3697" w:rsidP="00220DED">
            <w:pPr>
              <w:tabs>
                <w:tab w:val="left" w:pos="993"/>
              </w:tabs>
              <w:ind w:left="142" w:right="132"/>
              <w:jc w:val="both"/>
            </w:pPr>
            <w:proofErr w:type="spellStart"/>
            <w:r w:rsidRPr="00DA4DAB">
              <w:t>Зміст</w:t>
            </w:r>
            <w:proofErr w:type="spellEnd"/>
            <w:r w:rsidRPr="00DA4DAB">
              <w:t xml:space="preserve"> та </w:t>
            </w:r>
            <w:proofErr w:type="spellStart"/>
            <w:r w:rsidRPr="00DA4DAB">
              <w:t>ступінь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захисту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бланків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талонів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встановлюються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емітентом</w:t>
            </w:r>
            <w:proofErr w:type="spellEnd"/>
            <w:r w:rsidRPr="00DA4DAB">
              <w:t xml:space="preserve"> талона. При </w:t>
            </w:r>
            <w:proofErr w:type="spellStart"/>
            <w:r w:rsidRPr="00DA4DAB">
              <w:t>цьому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необхідними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елементами</w:t>
            </w:r>
            <w:proofErr w:type="spellEnd"/>
            <w:r w:rsidRPr="00DA4DAB">
              <w:t xml:space="preserve"> талона є </w:t>
            </w:r>
            <w:proofErr w:type="spellStart"/>
            <w:r w:rsidRPr="00DA4DAB">
              <w:t>наявність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серійного</w:t>
            </w:r>
            <w:proofErr w:type="spellEnd"/>
            <w:r w:rsidRPr="00DA4DAB">
              <w:t xml:space="preserve"> та порядкового </w:t>
            </w:r>
            <w:proofErr w:type="spellStart"/>
            <w:r w:rsidRPr="00DA4DAB">
              <w:t>номерів</w:t>
            </w:r>
            <w:proofErr w:type="spellEnd"/>
            <w:r w:rsidRPr="00DA4DAB">
              <w:t>.</w:t>
            </w:r>
          </w:p>
        </w:tc>
      </w:tr>
      <w:tr w:rsidR="00DE3697" w:rsidRPr="00DA4DAB" w:rsidTr="00220DED">
        <w:trPr>
          <w:trHeight w:hRule="exact" w:val="283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r w:rsidRPr="00DA4DAB">
              <w:rPr>
                <w:b/>
              </w:rPr>
              <w:t xml:space="preserve">2. </w:t>
            </w:r>
            <w:proofErr w:type="spellStart"/>
            <w:r w:rsidRPr="00DA4DAB">
              <w:rPr>
                <w:b/>
              </w:rPr>
              <w:t>Технічні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положення</w:t>
            </w:r>
            <w:proofErr w:type="spellEnd"/>
          </w:p>
        </w:tc>
      </w:tr>
      <w:tr w:rsidR="00DE3697" w:rsidRPr="00DA4DAB" w:rsidTr="00DE3697">
        <w:trPr>
          <w:trHeight w:hRule="exact" w:val="256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</w:pPr>
            <w:proofErr w:type="spellStart"/>
            <w:r w:rsidRPr="00DA4DAB">
              <w:t>Запропонований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учасником</w:t>
            </w:r>
            <w:proofErr w:type="spellEnd"/>
            <w:r w:rsidRPr="00DA4DAB">
              <w:t xml:space="preserve"> товар повинен </w:t>
            </w:r>
            <w:proofErr w:type="spellStart"/>
            <w:r w:rsidRPr="00DA4DAB">
              <w:t>відповідати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вимогам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діючих</w:t>
            </w:r>
            <w:proofErr w:type="spellEnd"/>
            <w:r w:rsidRPr="00DA4DAB">
              <w:t xml:space="preserve"> норм та </w:t>
            </w:r>
            <w:proofErr w:type="spellStart"/>
            <w:r w:rsidRPr="00DA4DAB">
              <w:t>стандартів</w:t>
            </w:r>
            <w:proofErr w:type="spellEnd"/>
            <w:r w:rsidRPr="00DA4DAB">
              <w:t xml:space="preserve">, а </w:t>
            </w:r>
            <w:proofErr w:type="spellStart"/>
            <w:r w:rsidRPr="00DA4DAB">
              <w:t>саме</w:t>
            </w:r>
            <w:proofErr w:type="spellEnd"/>
            <w:r w:rsidRPr="00DA4DAB">
              <w:t>:</w:t>
            </w:r>
          </w:p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</w:pPr>
            <w:r w:rsidRPr="00DA4DAB">
              <w:rPr>
                <w:b/>
              </w:rPr>
              <w:t>Бензин А-95</w:t>
            </w:r>
            <w:r w:rsidRPr="00DA4DAB">
              <w:t xml:space="preserve"> - </w:t>
            </w:r>
            <w:proofErr w:type="spellStart"/>
            <w:r w:rsidRPr="00DA4DAB">
              <w:t>вимогам</w:t>
            </w:r>
            <w:proofErr w:type="spellEnd"/>
            <w:r w:rsidRPr="00DA4DAB">
              <w:t xml:space="preserve"> ДСТУ 7687:2015 «</w:t>
            </w:r>
            <w:proofErr w:type="spellStart"/>
            <w:r w:rsidRPr="00DA4DAB">
              <w:t>Бензини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автомобільні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Євро</w:t>
            </w:r>
            <w:proofErr w:type="spellEnd"/>
            <w:r w:rsidRPr="00DA4DAB">
              <w:t xml:space="preserve">. </w:t>
            </w:r>
            <w:proofErr w:type="spellStart"/>
            <w:r w:rsidRPr="00DA4DAB">
              <w:t>Технічні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умови</w:t>
            </w:r>
            <w:proofErr w:type="spellEnd"/>
            <w:r w:rsidRPr="00DA4DAB">
              <w:t xml:space="preserve">» та </w:t>
            </w:r>
            <w:proofErr w:type="spellStart"/>
            <w:r w:rsidRPr="00DA4DAB">
              <w:t>екологічному</w:t>
            </w:r>
            <w:proofErr w:type="spellEnd"/>
            <w:r w:rsidRPr="00DA4DAB">
              <w:t xml:space="preserve"> стандарту ЄВРО-</w:t>
            </w:r>
          </w:p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</w:pPr>
            <w:r w:rsidRPr="00DA4DAB">
              <w:t>5;</w:t>
            </w:r>
          </w:p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ind w:left="174" w:right="274"/>
              <w:jc w:val="both"/>
            </w:pPr>
            <w:proofErr w:type="spellStart"/>
            <w:r w:rsidRPr="00DA4DAB">
              <w:t>Інформація</w:t>
            </w:r>
            <w:proofErr w:type="spellEnd"/>
            <w:r w:rsidRPr="00DA4DAB">
              <w:t xml:space="preserve"> про </w:t>
            </w:r>
            <w:proofErr w:type="spellStart"/>
            <w:r w:rsidRPr="00DA4DAB">
              <w:t>відповідність</w:t>
            </w:r>
            <w:proofErr w:type="spellEnd"/>
            <w:r w:rsidRPr="00DA4DAB">
              <w:t xml:space="preserve"> товару </w:t>
            </w:r>
            <w:proofErr w:type="spellStart"/>
            <w:r w:rsidRPr="00DA4DAB">
              <w:t>технічним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вимогам</w:t>
            </w:r>
            <w:proofErr w:type="spellEnd"/>
            <w:r w:rsidRPr="00DA4DAB">
              <w:t xml:space="preserve"> повинна бути </w:t>
            </w:r>
            <w:proofErr w:type="spellStart"/>
            <w:r w:rsidRPr="00DA4DAB">
              <w:t>підтверджена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чинними</w:t>
            </w:r>
            <w:proofErr w:type="spellEnd"/>
            <w:r w:rsidRPr="00DA4DAB">
              <w:t xml:space="preserve"> на момент </w:t>
            </w:r>
            <w:proofErr w:type="spellStart"/>
            <w:r w:rsidRPr="00DA4DAB">
              <w:t>розкриття</w:t>
            </w:r>
            <w:proofErr w:type="spellEnd"/>
            <w:r w:rsidRPr="00DA4DAB">
              <w:t xml:space="preserve">, </w:t>
            </w:r>
            <w:proofErr w:type="spellStart"/>
            <w:r w:rsidRPr="00DA4DAB">
              <w:t>копіями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наступних</w:t>
            </w:r>
            <w:proofErr w:type="spellEnd"/>
            <w:r w:rsidRPr="00DA4DAB">
              <w:t xml:space="preserve"> </w:t>
            </w:r>
            <w:proofErr w:type="spellStart"/>
            <w:r w:rsidRPr="00DA4DAB">
              <w:t>документів</w:t>
            </w:r>
            <w:proofErr w:type="spellEnd"/>
            <w:r w:rsidRPr="00DA4DAB">
              <w:t>:</w:t>
            </w:r>
          </w:p>
          <w:p w:rsidR="00DE3697" w:rsidRPr="00DA4DAB" w:rsidRDefault="00DE3697" w:rsidP="00DE369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ind w:right="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сертифікатів</w:t>
            </w:r>
            <w:proofErr w:type="spellEnd"/>
            <w:proofErr w:type="gram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відповідності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заводу-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виробника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E3697" w:rsidRPr="00DA4DAB" w:rsidRDefault="00DE3697" w:rsidP="00DE369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ind w:right="274"/>
              <w:jc w:val="both"/>
            </w:pPr>
            <w:proofErr w:type="spellStart"/>
            <w:proofErr w:type="gram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сертифікатів</w:t>
            </w:r>
            <w:proofErr w:type="spellEnd"/>
            <w:proofErr w:type="gram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паспортів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якості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заводу- </w:t>
            </w:r>
            <w:proofErr w:type="spellStart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виробника</w:t>
            </w:r>
            <w:proofErr w:type="spellEnd"/>
            <w:r w:rsidRPr="00DA4D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3697" w:rsidRPr="00DA4DAB" w:rsidTr="00220DED">
        <w:trPr>
          <w:trHeight w:hRule="exact" w:val="283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jc w:val="center"/>
              <w:rPr>
                <w:b/>
              </w:rPr>
            </w:pPr>
            <w:r w:rsidRPr="00DA4DAB">
              <w:rPr>
                <w:b/>
              </w:rPr>
              <w:t xml:space="preserve">3. </w:t>
            </w:r>
            <w:proofErr w:type="spellStart"/>
            <w:r w:rsidRPr="00DA4DAB">
              <w:rPr>
                <w:b/>
              </w:rPr>
              <w:t>Інша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інформація</w:t>
            </w:r>
            <w:proofErr w:type="spellEnd"/>
          </w:p>
        </w:tc>
      </w:tr>
      <w:tr w:rsidR="00DE3697" w:rsidRPr="00DE3697" w:rsidTr="00220DED">
        <w:trPr>
          <w:trHeight w:hRule="exact" w:val="5043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  <w:rPr>
                <w:b/>
              </w:rPr>
            </w:pPr>
          </w:p>
          <w:p w:rsidR="00DE3697" w:rsidRPr="00DA4DAB" w:rsidRDefault="00DE3697" w:rsidP="00220DED">
            <w:pPr>
              <w:tabs>
                <w:tab w:val="left" w:pos="993"/>
              </w:tabs>
              <w:ind w:left="142" w:right="90"/>
              <w:jc w:val="both"/>
              <w:rPr>
                <w:b/>
                <w:lang w:val="uk-UA"/>
              </w:rPr>
            </w:pPr>
            <w:r w:rsidRPr="00DA4DAB">
              <w:rPr>
                <w:b/>
              </w:rPr>
              <w:t xml:space="preserve">3.1. </w:t>
            </w:r>
            <w:proofErr w:type="spellStart"/>
            <w:r w:rsidRPr="00DA4DAB">
              <w:rPr>
                <w:b/>
              </w:rPr>
              <w:t>Наявність</w:t>
            </w:r>
            <w:proofErr w:type="spellEnd"/>
            <w:r w:rsidRPr="00DA4DAB">
              <w:rPr>
                <w:b/>
              </w:rPr>
              <w:t xml:space="preserve"> АЗС </w:t>
            </w:r>
            <w:proofErr w:type="spellStart"/>
            <w:r w:rsidRPr="00DA4DAB">
              <w:rPr>
                <w:b/>
              </w:rPr>
              <w:t>обслуговуючих</w:t>
            </w:r>
            <w:proofErr w:type="spellEnd"/>
            <w:r w:rsidRPr="00DA4DAB">
              <w:rPr>
                <w:b/>
              </w:rPr>
              <w:t xml:space="preserve"> </w:t>
            </w:r>
            <w:proofErr w:type="spellStart"/>
            <w:r w:rsidRPr="00DA4DAB">
              <w:rPr>
                <w:b/>
              </w:rPr>
              <w:t>талони</w:t>
            </w:r>
            <w:proofErr w:type="spellEnd"/>
            <w:r w:rsidRPr="00DA4DAB">
              <w:rPr>
                <w:b/>
              </w:rPr>
              <w:t xml:space="preserve"> в</w:t>
            </w:r>
            <w:r w:rsidRPr="00DA4DAB">
              <w:rPr>
                <w:b/>
                <w:lang w:val="uk-UA"/>
              </w:rPr>
              <w:t xml:space="preserve"> </w:t>
            </w:r>
            <w:proofErr w:type="gramStart"/>
            <w:r w:rsidRPr="00DA4DAB">
              <w:rPr>
                <w:b/>
                <w:lang w:val="uk-UA"/>
              </w:rPr>
              <w:t xml:space="preserve">межах </w:t>
            </w:r>
            <w:r w:rsidRPr="00DA4DAB">
              <w:rPr>
                <w:b/>
              </w:rPr>
              <w:t xml:space="preserve"> м.</w:t>
            </w:r>
            <w:r w:rsidRPr="00DA4DAB">
              <w:rPr>
                <w:b/>
                <w:lang w:val="uk-UA"/>
              </w:rPr>
              <w:t>Умань</w:t>
            </w:r>
            <w:proofErr w:type="gramEnd"/>
            <w:r w:rsidRPr="00DA4DAB">
              <w:rPr>
                <w:b/>
                <w:lang w:val="uk-UA"/>
              </w:rPr>
              <w:t>.</w:t>
            </w:r>
            <w:r w:rsidRPr="00DA4DAB">
              <w:rPr>
                <w:b/>
              </w:rPr>
              <w:t xml:space="preserve">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697" w:rsidRPr="00DA4DAB" w:rsidRDefault="00DE3697" w:rsidP="00220DED">
            <w:pPr>
              <w:tabs>
                <w:tab w:val="left" w:pos="993"/>
              </w:tabs>
              <w:ind w:left="301" w:right="274"/>
              <w:jc w:val="both"/>
              <w:rPr>
                <w:lang w:val="uk-UA"/>
              </w:rPr>
            </w:pPr>
            <w:r w:rsidRPr="00DA4DAB">
              <w:rPr>
                <w:lang w:val="uk-UA"/>
              </w:rPr>
              <w:t xml:space="preserve">На підтвердження обов’язкової наявності АЗС обслуговуючих талони в межах  </w:t>
            </w:r>
            <w:proofErr w:type="spellStart"/>
            <w:r w:rsidRPr="00DA4DAB">
              <w:rPr>
                <w:lang w:val="uk-UA"/>
              </w:rPr>
              <w:t>м.Умань</w:t>
            </w:r>
            <w:proofErr w:type="spellEnd"/>
            <w:r w:rsidRPr="00DA4DAB">
              <w:rPr>
                <w:lang w:val="uk-UA"/>
              </w:rPr>
              <w:t>, Учасник повинен надати Інформаційну довідку за формою, наведеною нижче, завірену підписом уповноваженої особи та відбитком печатки* про наявність АЗС у  м. Умань, обслуговуючих талони, з обов’язковим підтвердженням даної інформації у вигляді копій документів про право власності вказаних АЗС, або копій договорів оренди вказаних АЗС, або копій договорів  між Учасником та іншими операторами ринку нафтопродуктів-його партнерами, які можуть приймати талони Учасника.</w:t>
            </w:r>
          </w:p>
        </w:tc>
      </w:tr>
    </w:tbl>
    <w:p w:rsidR="00242419" w:rsidRDefault="00242419" w:rsidP="00FF73F4">
      <w:pPr>
        <w:ind w:firstLine="426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sectPr w:rsidR="0024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46774"/>
    <w:multiLevelType w:val="hybridMultilevel"/>
    <w:tmpl w:val="77BE2374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>
    <w:nsid w:val="2C94572D"/>
    <w:multiLevelType w:val="hybridMultilevel"/>
    <w:tmpl w:val="658AD8A4"/>
    <w:lvl w:ilvl="0" w:tplc="C0D4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5799"/>
    <w:multiLevelType w:val="hybridMultilevel"/>
    <w:tmpl w:val="F6D03F06"/>
    <w:lvl w:ilvl="0" w:tplc="5ABE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12B5D"/>
    <w:rsid w:val="000647B4"/>
    <w:rsid w:val="000B729C"/>
    <w:rsid w:val="00106F05"/>
    <w:rsid w:val="00176899"/>
    <w:rsid w:val="00181DBC"/>
    <w:rsid w:val="001830A4"/>
    <w:rsid w:val="00195D95"/>
    <w:rsid w:val="001E12B4"/>
    <w:rsid w:val="001E7E3C"/>
    <w:rsid w:val="00201E71"/>
    <w:rsid w:val="00213852"/>
    <w:rsid w:val="00242419"/>
    <w:rsid w:val="00257614"/>
    <w:rsid w:val="00285AA2"/>
    <w:rsid w:val="002B5800"/>
    <w:rsid w:val="002C566D"/>
    <w:rsid w:val="002E593D"/>
    <w:rsid w:val="002F4BD3"/>
    <w:rsid w:val="00340BCD"/>
    <w:rsid w:val="003B46AA"/>
    <w:rsid w:val="003F1A46"/>
    <w:rsid w:val="003F340F"/>
    <w:rsid w:val="004210A5"/>
    <w:rsid w:val="0046641A"/>
    <w:rsid w:val="00480F42"/>
    <w:rsid w:val="005358C0"/>
    <w:rsid w:val="005363EB"/>
    <w:rsid w:val="005F0BF1"/>
    <w:rsid w:val="0067190E"/>
    <w:rsid w:val="006B4896"/>
    <w:rsid w:val="007102F6"/>
    <w:rsid w:val="0071066C"/>
    <w:rsid w:val="00740A71"/>
    <w:rsid w:val="00744700"/>
    <w:rsid w:val="007B7200"/>
    <w:rsid w:val="0082576D"/>
    <w:rsid w:val="008358FA"/>
    <w:rsid w:val="00837426"/>
    <w:rsid w:val="0085094D"/>
    <w:rsid w:val="0085252A"/>
    <w:rsid w:val="008D0D0E"/>
    <w:rsid w:val="008E5A9C"/>
    <w:rsid w:val="00967045"/>
    <w:rsid w:val="00974FCC"/>
    <w:rsid w:val="009B153E"/>
    <w:rsid w:val="009E1128"/>
    <w:rsid w:val="00AA4BB0"/>
    <w:rsid w:val="00AE324E"/>
    <w:rsid w:val="00AF0F16"/>
    <w:rsid w:val="00B153BA"/>
    <w:rsid w:val="00B61179"/>
    <w:rsid w:val="00B8542B"/>
    <w:rsid w:val="00BA0309"/>
    <w:rsid w:val="00BA4E57"/>
    <w:rsid w:val="00BE41B7"/>
    <w:rsid w:val="00C30CA4"/>
    <w:rsid w:val="00C47824"/>
    <w:rsid w:val="00C6103F"/>
    <w:rsid w:val="00C702E9"/>
    <w:rsid w:val="00CC32E0"/>
    <w:rsid w:val="00D03002"/>
    <w:rsid w:val="00D351D2"/>
    <w:rsid w:val="00D71690"/>
    <w:rsid w:val="00DA48C0"/>
    <w:rsid w:val="00DB2CBA"/>
    <w:rsid w:val="00DB4B54"/>
    <w:rsid w:val="00DE3697"/>
    <w:rsid w:val="00E07939"/>
    <w:rsid w:val="00E22B32"/>
    <w:rsid w:val="00EC213F"/>
    <w:rsid w:val="00F34C04"/>
    <w:rsid w:val="00F8048F"/>
    <w:rsid w:val="00F9084B"/>
    <w:rsid w:val="00FB3B80"/>
    <w:rsid w:val="00FB544F"/>
    <w:rsid w:val="00FF360A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8542B"/>
  </w:style>
  <w:style w:type="paragraph" w:customStyle="1" w:styleId="1">
    <w:name w:val="Обычный1"/>
    <w:qFormat/>
    <w:rsid w:val="00CC32E0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a3">
    <w:name w:val="Абзац списка Знак"/>
    <w:aliases w:val="Chapter10 Знак,Заголовок 1.1 Знак,Заголовок а) Знак,Список уровня 2 Знак,название табл/рис Знак,заголовок 1.1 Знак,Elenco Normale Знак,AC List 01 Знак,Number Bullets Знак,lp1 Знак"/>
    <w:link w:val="a4"/>
    <w:uiPriority w:val="34"/>
    <w:locked/>
    <w:rsid w:val="00DE3697"/>
  </w:style>
  <w:style w:type="paragraph" w:styleId="a4">
    <w:name w:val="List Paragraph"/>
    <w:aliases w:val="Chapter10,Заголовок 1.1,Заголовок а),Список уровня 2,название табл/рис,заголовок 1.1,Elenco Normale,AC List 01,Number Bullets,lp1"/>
    <w:basedOn w:val="a"/>
    <w:link w:val="a3"/>
    <w:uiPriority w:val="34"/>
    <w:qFormat/>
    <w:rsid w:val="00DE3697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32</cp:revision>
  <dcterms:created xsi:type="dcterms:W3CDTF">2022-01-29T13:25:00Z</dcterms:created>
  <dcterms:modified xsi:type="dcterms:W3CDTF">2023-06-01T12:42:00Z</dcterms:modified>
</cp:coreProperties>
</file>